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2BF84" w14:textId="77777777" w:rsidR="005F700F" w:rsidRPr="00AB1D26" w:rsidRDefault="005F700F">
      <w:pPr>
        <w:spacing w:after="0"/>
        <w:jc w:val="both"/>
        <w:rPr>
          <w:rFonts w:ascii="Century Gothic" w:eastAsia="Times New Roman" w:hAnsi="Century Gothic" w:cs="Times New Roman"/>
          <w:b/>
          <w:sz w:val="24"/>
          <w:szCs w:val="24"/>
        </w:rPr>
      </w:pPr>
    </w:p>
    <w:p w14:paraId="51DA1247" w14:textId="15A0456D" w:rsidR="00472E35" w:rsidRPr="00AB1D26" w:rsidRDefault="00AB1D26" w:rsidP="00AB1D26">
      <w:pPr>
        <w:spacing w:after="0"/>
        <w:jc w:val="center"/>
        <w:rPr>
          <w:rFonts w:ascii="Century Gothic" w:eastAsia="Times New Roman" w:hAnsi="Century Gothic" w:cs="Times New Roman"/>
          <w:b/>
          <w:sz w:val="24"/>
          <w:szCs w:val="24"/>
        </w:rPr>
      </w:pPr>
      <w:r w:rsidRPr="00AB1D26">
        <w:rPr>
          <w:rFonts w:ascii="Century Gothic" w:eastAsia="Times New Roman" w:hAnsi="Century Gothic" w:cs="Times New Roman"/>
          <w:b/>
          <w:sz w:val="24"/>
          <w:szCs w:val="24"/>
        </w:rPr>
        <w:t xml:space="preserve">TEXTO APROBADO EN PRIMER DEBATE  EN LA COMISIÓN PRIMERA DE LA CÁMARA DE REPRESENTANTES DEL </w:t>
      </w:r>
      <w:r w:rsidR="00B77B5C" w:rsidRPr="00AB1D26">
        <w:rPr>
          <w:rFonts w:ascii="Century Gothic" w:eastAsia="Times New Roman" w:hAnsi="Century Gothic" w:cs="Times New Roman"/>
          <w:b/>
          <w:sz w:val="24"/>
          <w:szCs w:val="24"/>
        </w:rPr>
        <w:t>PROYECTO DE LEY NÚMERO 581 DE 2021, CÁMARA.  “Por medio de</w:t>
      </w:r>
      <w:r w:rsidR="00A14D9B">
        <w:rPr>
          <w:rFonts w:ascii="Century Gothic" w:eastAsia="Times New Roman" w:hAnsi="Century Gothic" w:cs="Times New Roman"/>
          <w:b/>
          <w:sz w:val="24"/>
          <w:szCs w:val="24"/>
        </w:rPr>
        <w:t xml:space="preserve"> la </w:t>
      </w:r>
      <w:r w:rsidR="00B77B5C" w:rsidRPr="00AB1D26">
        <w:rPr>
          <w:rFonts w:ascii="Century Gothic" w:eastAsia="Times New Roman" w:hAnsi="Century Gothic" w:cs="Times New Roman"/>
          <w:b/>
          <w:sz w:val="24"/>
          <w:szCs w:val="24"/>
        </w:rPr>
        <w:t>cual se modifica el artículo 687 del Código Civil y se incluye el numeral 17 al artículo 594 de la Ley 1564 de 2012, por medio de</w:t>
      </w:r>
      <w:r w:rsidR="00A14D9B">
        <w:rPr>
          <w:rFonts w:ascii="Century Gothic" w:eastAsia="Times New Roman" w:hAnsi="Century Gothic" w:cs="Times New Roman"/>
          <w:b/>
          <w:sz w:val="24"/>
          <w:szCs w:val="24"/>
        </w:rPr>
        <w:t xml:space="preserve"> la</w:t>
      </w:r>
      <w:r w:rsidR="00B77B5C" w:rsidRPr="00AB1D26">
        <w:rPr>
          <w:rFonts w:ascii="Century Gothic" w:eastAsia="Times New Roman" w:hAnsi="Century Gothic" w:cs="Times New Roman"/>
          <w:b/>
          <w:sz w:val="24"/>
          <w:szCs w:val="24"/>
        </w:rPr>
        <w:t xml:space="preserve"> cual se expide el Código General del Proceso y se dictan otras disposiciones”.</w:t>
      </w:r>
    </w:p>
    <w:p w14:paraId="35FC1A37" w14:textId="77777777" w:rsidR="00472E35" w:rsidRPr="00AB1D26" w:rsidRDefault="00472E35">
      <w:pPr>
        <w:spacing w:after="0"/>
        <w:jc w:val="both"/>
        <w:rPr>
          <w:rFonts w:ascii="Century Gothic" w:eastAsia="Times New Roman" w:hAnsi="Century Gothic" w:cs="Times New Roman"/>
          <w:i/>
          <w:sz w:val="24"/>
          <w:szCs w:val="24"/>
        </w:rPr>
      </w:pPr>
    </w:p>
    <w:p w14:paraId="23868374" w14:textId="77777777" w:rsidR="00472E35" w:rsidRPr="00AB1D26" w:rsidRDefault="00B77B5C">
      <w:pPr>
        <w:spacing w:after="0"/>
        <w:jc w:val="center"/>
        <w:rPr>
          <w:rFonts w:ascii="Century Gothic" w:eastAsia="Times New Roman" w:hAnsi="Century Gothic" w:cs="Times New Roman"/>
          <w:b/>
          <w:sz w:val="24"/>
          <w:szCs w:val="24"/>
        </w:rPr>
      </w:pPr>
      <w:r w:rsidRPr="00AB1D26">
        <w:rPr>
          <w:rFonts w:ascii="Century Gothic" w:eastAsia="Times New Roman" w:hAnsi="Century Gothic" w:cs="Times New Roman"/>
          <w:b/>
          <w:sz w:val="24"/>
          <w:szCs w:val="24"/>
        </w:rPr>
        <w:t>EL CONGRESO DE LA REPÚBLICA DE COLOMBIA,</w:t>
      </w:r>
    </w:p>
    <w:p w14:paraId="7A6DB9F3" w14:textId="77777777" w:rsidR="00472E35" w:rsidRPr="00AB1D26" w:rsidRDefault="00B77B5C">
      <w:pPr>
        <w:spacing w:after="0"/>
        <w:jc w:val="center"/>
        <w:rPr>
          <w:rFonts w:ascii="Century Gothic" w:eastAsia="Times New Roman" w:hAnsi="Century Gothic" w:cs="Times New Roman"/>
          <w:b/>
          <w:sz w:val="24"/>
          <w:szCs w:val="24"/>
        </w:rPr>
      </w:pPr>
      <w:r w:rsidRPr="00AB1D26">
        <w:rPr>
          <w:rFonts w:ascii="Century Gothic" w:eastAsia="Times New Roman" w:hAnsi="Century Gothic" w:cs="Times New Roman"/>
          <w:b/>
          <w:sz w:val="24"/>
          <w:szCs w:val="24"/>
        </w:rPr>
        <w:t>DECRETA:</w:t>
      </w:r>
    </w:p>
    <w:p w14:paraId="5E83A40C" w14:textId="77777777" w:rsidR="00472E35" w:rsidRPr="00AB1D26" w:rsidRDefault="00472E35">
      <w:pPr>
        <w:spacing w:after="0"/>
        <w:jc w:val="center"/>
        <w:rPr>
          <w:rFonts w:ascii="Century Gothic" w:eastAsia="Times New Roman" w:hAnsi="Century Gothic" w:cs="Times New Roman"/>
          <w:b/>
          <w:sz w:val="24"/>
          <w:szCs w:val="24"/>
        </w:rPr>
      </w:pPr>
    </w:p>
    <w:p w14:paraId="7B395B77" w14:textId="151D13D8" w:rsidR="00472E35" w:rsidRPr="00AB1D26" w:rsidRDefault="00B77B5C">
      <w:pPr>
        <w:spacing w:line="256"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Artículo 1°. Objeto:</w:t>
      </w:r>
      <w:r w:rsidRPr="00AB1D26">
        <w:rPr>
          <w:rFonts w:ascii="Century Gothic" w:eastAsia="Times New Roman" w:hAnsi="Century Gothic" w:cs="Times New Roman"/>
          <w:sz w:val="24"/>
          <w:szCs w:val="24"/>
        </w:rPr>
        <w:t xml:space="preserve"> la presente ley tiene por objeto establecer la </w:t>
      </w:r>
      <w:proofErr w:type="spellStart"/>
      <w:r w:rsidRPr="00AB1D26">
        <w:rPr>
          <w:rFonts w:ascii="Century Gothic" w:eastAsia="Times New Roman" w:hAnsi="Century Gothic" w:cs="Times New Roman"/>
          <w:sz w:val="24"/>
          <w:szCs w:val="24"/>
        </w:rPr>
        <w:t>inembargabilidad</w:t>
      </w:r>
      <w:proofErr w:type="spellEnd"/>
      <w:r w:rsidRPr="00AB1D26">
        <w:rPr>
          <w:rFonts w:ascii="Century Gothic" w:eastAsia="Times New Roman" w:hAnsi="Century Gothic" w:cs="Times New Roman"/>
          <w:sz w:val="24"/>
          <w:szCs w:val="24"/>
        </w:rPr>
        <w:t xml:space="preserve"> de los </w:t>
      </w:r>
      <w:r w:rsidR="00160C80" w:rsidRPr="00AB1D26">
        <w:rPr>
          <w:rFonts w:ascii="Century Gothic" w:eastAsia="Times New Roman" w:hAnsi="Century Gothic" w:cs="Times New Roman"/>
          <w:sz w:val="24"/>
          <w:szCs w:val="24"/>
        </w:rPr>
        <w:t>animales de compañía domésticos</w:t>
      </w:r>
      <w:r w:rsidRPr="00AB1D26">
        <w:rPr>
          <w:rFonts w:ascii="Century Gothic" w:eastAsia="Times New Roman" w:hAnsi="Century Gothic" w:cs="Times New Roman"/>
          <w:sz w:val="24"/>
          <w:szCs w:val="24"/>
        </w:rPr>
        <w:t xml:space="preserve"> que forman parte de los núcleos familiares. Esta ley protegerá tanto a las personas como a los animales en la medida que estos últimos no podrán ser retirados de las familias con motivo a medidas cautelares impuestas dentro de los procesos judiciales.</w:t>
      </w:r>
    </w:p>
    <w:p w14:paraId="6276CEC7" w14:textId="77777777" w:rsidR="00472E35" w:rsidRPr="00AB1D26" w:rsidRDefault="00B77B5C">
      <w:pPr>
        <w:spacing w:line="256" w:lineRule="auto"/>
        <w:jc w:val="both"/>
        <w:rPr>
          <w:rFonts w:ascii="Century Gothic" w:eastAsia="Times New Roman" w:hAnsi="Century Gothic" w:cs="Times New Roman"/>
          <w:b/>
          <w:sz w:val="24"/>
          <w:szCs w:val="24"/>
        </w:rPr>
      </w:pPr>
      <w:r w:rsidRPr="00AB1D26">
        <w:rPr>
          <w:rFonts w:ascii="Century Gothic" w:eastAsia="Times New Roman" w:hAnsi="Century Gothic" w:cs="Times New Roman"/>
          <w:b/>
          <w:sz w:val="24"/>
          <w:szCs w:val="24"/>
        </w:rPr>
        <w:t>Artículo 2°. Modifíquese el artículo 687 del Código Civil, Ley 84 de 1873, el cual quedará así:</w:t>
      </w:r>
    </w:p>
    <w:p w14:paraId="02E78D86" w14:textId="77777777" w:rsidR="00472E35" w:rsidRPr="00AB1D26" w:rsidRDefault="00B77B5C">
      <w:pPr>
        <w:spacing w:line="256"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Artículo 687. Animales bravíos, domésticos, animales de compañía domésticos y domesticados. </w:t>
      </w:r>
      <w:r w:rsidRPr="00AB1D26">
        <w:rPr>
          <w:rFonts w:ascii="Century Gothic" w:eastAsia="Times New Roman" w:hAnsi="Century Gothic" w:cs="Times New Roman"/>
          <w:sz w:val="24"/>
          <w:szCs w:val="24"/>
        </w:rPr>
        <w:t xml:space="preserve">Se llaman animales bravíos o salvajes los que viven naturalmente libres e independientes del hombre, como las fieras y los peces; domésticos, los que pertenecen a especies que viven ordinariamente bajo la dependencia del </w:t>
      </w:r>
      <w:proofErr w:type="gramStart"/>
      <w:r w:rsidRPr="00AB1D26">
        <w:rPr>
          <w:rFonts w:ascii="Century Gothic" w:eastAsia="Times New Roman" w:hAnsi="Century Gothic" w:cs="Times New Roman"/>
          <w:sz w:val="24"/>
          <w:szCs w:val="24"/>
        </w:rPr>
        <w:t>hombre</w:t>
      </w:r>
      <w:proofErr w:type="gramEnd"/>
      <w:r w:rsidRPr="00AB1D26">
        <w:rPr>
          <w:rFonts w:ascii="Century Gothic" w:eastAsia="Times New Roman" w:hAnsi="Century Gothic" w:cs="Times New Roman"/>
          <w:sz w:val="24"/>
          <w:szCs w:val="24"/>
        </w:rPr>
        <w:t xml:space="preserve">, como las gallinas, las ovejas; animales de compañía domésticos son los que han sido introducidos al núcleo familiar del ser humano y con los que se crea un vínculo sentimental, conformando familias </w:t>
      </w:r>
      <w:proofErr w:type="spellStart"/>
      <w:r w:rsidRPr="00AB1D26">
        <w:rPr>
          <w:rFonts w:ascii="Century Gothic" w:eastAsia="Times New Roman" w:hAnsi="Century Gothic" w:cs="Times New Roman"/>
          <w:sz w:val="24"/>
          <w:szCs w:val="24"/>
        </w:rPr>
        <w:t>multiespecies</w:t>
      </w:r>
      <w:proofErr w:type="spellEnd"/>
      <w:r w:rsidRPr="00AB1D26">
        <w:rPr>
          <w:rFonts w:ascii="Century Gothic" w:eastAsia="Times New Roman" w:hAnsi="Century Gothic" w:cs="Times New Roman"/>
          <w:sz w:val="24"/>
          <w:szCs w:val="24"/>
        </w:rPr>
        <w:t>; y domesticados los que, sin embargo de ser bravíos por su naturaleza, se han acostumbrado a la domesticidad, y reconocen en cierto modo el imperio del hombre.</w:t>
      </w:r>
    </w:p>
    <w:p w14:paraId="082D105F" w14:textId="77777777" w:rsidR="00472E35" w:rsidRPr="00AB1D26" w:rsidRDefault="00B77B5C">
      <w:pPr>
        <w:spacing w:line="256"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sz w:val="24"/>
          <w:szCs w:val="24"/>
        </w:rPr>
        <w:t>Estos últimos, mientras conservan la costumbre de volver al amparo o dependencia del hombre, siguen la regla de los animales domésticos, y perdiendo esta costumbre vuelven a la clase de los animales bravíos.</w:t>
      </w:r>
    </w:p>
    <w:p w14:paraId="43D9B2F4" w14:textId="77777777" w:rsidR="00472E35" w:rsidRPr="00AB1D26" w:rsidRDefault="00B77B5C">
      <w:pPr>
        <w:spacing w:line="256"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Parágrafo</w:t>
      </w:r>
      <w:proofErr w:type="gramStart"/>
      <w:r w:rsidRPr="00AB1D26">
        <w:rPr>
          <w:rFonts w:ascii="Century Gothic" w:eastAsia="Times New Roman" w:hAnsi="Century Gothic" w:cs="Times New Roman"/>
          <w:b/>
          <w:sz w:val="24"/>
          <w:szCs w:val="24"/>
        </w:rPr>
        <w:t xml:space="preserve">:  </w:t>
      </w:r>
      <w:r w:rsidRPr="00AB1D26">
        <w:rPr>
          <w:rFonts w:ascii="Century Gothic" w:eastAsia="Times New Roman" w:hAnsi="Century Gothic" w:cs="Times New Roman"/>
          <w:sz w:val="24"/>
          <w:szCs w:val="24"/>
        </w:rPr>
        <w:t>no</w:t>
      </w:r>
      <w:proofErr w:type="gramEnd"/>
      <w:r w:rsidRPr="00AB1D26">
        <w:rPr>
          <w:rFonts w:ascii="Century Gothic" w:eastAsia="Times New Roman" w:hAnsi="Century Gothic" w:cs="Times New Roman"/>
          <w:sz w:val="24"/>
          <w:szCs w:val="24"/>
        </w:rPr>
        <w:t xml:space="preserve"> son animales de compañía domésticos los considerados parte de la fauna silvestre y exótica conforme lo establecido en la Ley 1333 de 2009 y el Título XI Ley 599 de 2000, Código Penal.</w:t>
      </w:r>
    </w:p>
    <w:p w14:paraId="11B30C15" w14:textId="77777777" w:rsidR="00472E35" w:rsidRPr="00AB1D26" w:rsidRDefault="00B77B5C">
      <w:pPr>
        <w:spacing w:before="240" w:after="240" w:line="270" w:lineRule="auto"/>
        <w:jc w:val="both"/>
        <w:rPr>
          <w:rFonts w:ascii="Century Gothic" w:eastAsia="Times New Roman" w:hAnsi="Century Gothic" w:cs="Times New Roman"/>
          <w:b/>
          <w:sz w:val="24"/>
          <w:szCs w:val="24"/>
        </w:rPr>
      </w:pPr>
      <w:r w:rsidRPr="00AB1D26">
        <w:rPr>
          <w:rFonts w:ascii="Century Gothic" w:eastAsia="Times New Roman" w:hAnsi="Century Gothic" w:cs="Times New Roman"/>
          <w:b/>
          <w:sz w:val="24"/>
          <w:szCs w:val="24"/>
        </w:rPr>
        <w:t>Artículo 3°. Adiciónese un numeral al artículo 594 de la Ley 1564 de 2012, el cual quedará así:</w:t>
      </w:r>
    </w:p>
    <w:p w14:paraId="1CE336D5" w14:textId="77777777" w:rsidR="00472E35" w:rsidRPr="00AB1D26" w:rsidRDefault="00B77B5C">
      <w:pPr>
        <w:spacing w:before="240" w:after="240" w:line="270" w:lineRule="auto"/>
        <w:jc w:val="both"/>
        <w:rPr>
          <w:rFonts w:ascii="Century Gothic" w:eastAsia="Times New Roman" w:hAnsi="Century Gothic" w:cs="Times New Roman"/>
          <w:b/>
          <w:sz w:val="24"/>
          <w:szCs w:val="24"/>
        </w:rPr>
      </w:pPr>
      <w:r w:rsidRPr="00AB1D26">
        <w:rPr>
          <w:rFonts w:ascii="Century Gothic" w:eastAsia="Times New Roman" w:hAnsi="Century Gothic" w:cs="Times New Roman"/>
          <w:b/>
          <w:sz w:val="24"/>
          <w:szCs w:val="24"/>
        </w:rPr>
        <w:lastRenderedPageBreak/>
        <w:t>Artículo 594. Bienes inembargables.</w:t>
      </w:r>
      <w:r w:rsidRPr="00AB1D26">
        <w:rPr>
          <w:rFonts w:ascii="Century Gothic" w:eastAsia="Times New Roman" w:hAnsi="Century Gothic" w:cs="Times New Roman"/>
          <w:sz w:val="24"/>
          <w:szCs w:val="24"/>
        </w:rPr>
        <w:t xml:space="preserve"> Además de los bienes inembargables señalados en la Constitución Política o en leyes especiales, no se podrán embargar</w:t>
      </w:r>
      <w:r w:rsidRPr="00AB1D26">
        <w:rPr>
          <w:rFonts w:ascii="Century Gothic" w:eastAsia="Times New Roman" w:hAnsi="Century Gothic" w:cs="Times New Roman"/>
          <w:b/>
          <w:sz w:val="24"/>
          <w:szCs w:val="24"/>
        </w:rPr>
        <w:t>:</w:t>
      </w:r>
    </w:p>
    <w:p w14:paraId="53BB3B81"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1. </w:t>
      </w:r>
      <w:r w:rsidRPr="00AB1D26">
        <w:rPr>
          <w:rFonts w:ascii="Century Gothic" w:eastAsia="Times New Roman" w:hAnsi="Century Gothic" w:cs="Times New Roman"/>
          <w:sz w:val="24"/>
          <w:szCs w:val="24"/>
        </w:rPr>
        <w:t>Los bienes, las rentas y recursos incorporados en el presupuesto general de la Nación o de las entidades territoriales, las cuentas del sistema general de participación, regalías y recursos de la seguridad social.</w:t>
      </w:r>
    </w:p>
    <w:p w14:paraId="50E6B18F"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2. </w:t>
      </w:r>
      <w:r w:rsidRPr="00AB1D26">
        <w:rPr>
          <w:rFonts w:ascii="Century Gothic" w:eastAsia="Times New Roman" w:hAnsi="Century Gothic" w:cs="Times New Roman"/>
          <w:sz w:val="24"/>
          <w:szCs w:val="24"/>
        </w:rPr>
        <w:t>Los depósitos de ahorro constituidos en los establecimientos de crédito, en el monto señalado por la autoridad competente, salvo para el pago de créditos alimentarios.</w:t>
      </w:r>
    </w:p>
    <w:p w14:paraId="3D3691CB"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3. </w:t>
      </w:r>
      <w:r w:rsidRPr="00AB1D26">
        <w:rPr>
          <w:rFonts w:ascii="Century Gothic" w:eastAsia="Times New Roman" w:hAnsi="Century Gothic" w:cs="Times New Roman"/>
          <w:sz w:val="24"/>
          <w:szCs w:val="24"/>
        </w:rPr>
        <w:t>Los bienes de uso público y los destinados a un servicio público cuando este se preste directamente por una entidad descentralizada de cualquier orden, o por medio de concesionario de estas; pero es embargable hasta la tercera parte de los ingresos brutos del respectivo servicio, sin que el total de embargos que se decreten exceda de dicho porcentaje.</w:t>
      </w:r>
    </w:p>
    <w:p w14:paraId="7183E03A"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sz w:val="24"/>
          <w:szCs w:val="24"/>
        </w:rPr>
        <w:t>Cuando el servicio público lo presten particulares, podrán embargarse los bienes destinados a él, así como los ingresos brutos que se produzca y el secuestro se practicará como el de empresas industriales.</w:t>
      </w:r>
    </w:p>
    <w:p w14:paraId="6B3DF5D9"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4. </w:t>
      </w:r>
      <w:r w:rsidRPr="00AB1D26">
        <w:rPr>
          <w:rFonts w:ascii="Century Gothic" w:eastAsia="Times New Roman" w:hAnsi="Century Gothic" w:cs="Times New Roman"/>
          <w:sz w:val="24"/>
          <w:szCs w:val="24"/>
        </w:rPr>
        <w:t>Los recursos municipales originados en transferencias de la Nación, salvo para el cobro de obligaciones derivadas de los contratos celebrados en desarrollo de las mismas.</w:t>
      </w:r>
    </w:p>
    <w:p w14:paraId="430D6B83"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5. </w:t>
      </w:r>
      <w:r w:rsidRPr="00AB1D26">
        <w:rPr>
          <w:rFonts w:ascii="Century Gothic" w:eastAsia="Times New Roman" w:hAnsi="Century Gothic" w:cs="Times New Roman"/>
          <w:sz w:val="24"/>
          <w:szCs w:val="24"/>
        </w:rPr>
        <w:t>Las sumas que para la construcción de obras públicas se hayan anticipado o deben anticiparse por las entidades de derecho público a los contratistas de ellas, mientras no hubiere concluido su construcción, excepto cuando se trate de obligaciones en favor de los trabajadores de dichas obras, por salarios, prestaciones sociales e indemnizaciones.</w:t>
      </w:r>
    </w:p>
    <w:p w14:paraId="74E246CB"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6.</w:t>
      </w:r>
      <w:r w:rsidRPr="00AB1D26">
        <w:rPr>
          <w:rFonts w:ascii="Century Gothic" w:eastAsia="Times New Roman" w:hAnsi="Century Gothic" w:cs="Times New Roman"/>
          <w:sz w:val="24"/>
          <w:szCs w:val="24"/>
        </w:rPr>
        <w:t xml:space="preserve"> Los salarios y las prestaciones sociales en la proporción prevista en las leyes respectivas. La </w:t>
      </w:r>
      <w:proofErr w:type="spellStart"/>
      <w:r w:rsidRPr="00AB1D26">
        <w:rPr>
          <w:rFonts w:ascii="Century Gothic" w:eastAsia="Times New Roman" w:hAnsi="Century Gothic" w:cs="Times New Roman"/>
          <w:sz w:val="24"/>
          <w:szCs w:val="24"/>
        </w:rPr>
        <w:t>inembargabilidad</w:t>
      </w:r>
      <w:proofErr w:type="spellEnd"/>
      <w:r w:rsidRPr="00AB1D26">
        <w:rPr>
          <w:rFonts w:ascii="Century Gothic" w:eastAsia="Times New Roman" w:hAnsi="Century Gothic" w:cs="Times New Roman"/>
          <w:sz w:val="24"/>
          <w:szCs w:val="24"/>
        </w:rPr>
        <w:t xml:space="preserve"> no se extiende a los salarios y prestaciones legalmente enajenados.</w:t>
      </w:r>
    </w:p>
    <w:p w14:paraId="27C2E185"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7. </w:t>
      </w:r>
      <w:r w:rsidRPr="00AB1D26">
        <w:rPr>
          <w:rFonts w:ascii="Century Gothic" w:eastAsia="Times New Roman" w:hAnsi="Century Gothic" w:cs="Times New Roman"/>
          <w:sz w:val="24"/>
          <w:szCs w:val="24"/>
        </w:rPr>
        <w:t>Las condecoraciones y pergaminos recibidos por actos meritorios.</w:t>
      </w:r>
    </w:p>
    <w:p w14:paraId="7A5263E2"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8. </w:t>
      </w:r>
      <w:r w:rsidRPr="00AB1D26">
        <w:rPr>
          <w:rFonts w:ascii="Century Gothic" w:eastAsia="Times New Roman" w:hAnsi="Century Gothic" w:cs="Times New Roman"/>
          <w:sz w:val="24"/>
          <w:szCs w:val="24"/>
        </w:rPr>
        <w:t>Los uniformes y equipos de los militares.</w:t>
      </w:r>
    </w:p>
    <w:p w14:paraId="45CEDAA0"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lastRenderedPageBreak/>
        <w:t>9.</w:t>
      </w:r>
      <w:r w:rsidRPr="00AB1D26">
        <w:rPr>
          <w:rFonts w:ascii="Century Gothic" w:eastAsia="Times New Roman" w:hAnsi="Century Gothic" w:cs="Times New Roman"/>
          <w:sz w:val="24"/>
          <w:szCs w:val="24"/>
        </w:rPr>
        <w:t xml:space="preserve"> Los terrenos o lugares utilizados como cementerios o enterramientos.</w:t>
      </w:r>
    </w:p>
    <w:p w14:paraId="2BA5F9FA"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10. </w:t>
      </w:r>
      <w:r w:rsidRPr="00AB1D26">
        <w:rPr>
          <w:rFonts w:ascii="Century Gothic" w:eastAsia="Times New Roman" w:hAnsi="Century Gothic" w:cs="Times New Roman"/>
          <w:sz w:val="24"/>
          <w:szCs w:val="24"/>
        </w:rPr>
        <w:t>Los bienes destinados al culto religioso de cualquier confesión o iglesia que haya suscrito concordato o tratado de derecho internacional o convenio de derecho público interno con el Estado colombiano.</w:t>
      </w:r>
    </w:p>
    <w:p w14:paraId="1973BB19"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11. </w:t>
      </w:r>
      <w:r w:rsidRPr="00AB1D26">
        <w:rPr>
          <w:rFonts w:ascii="Century Gothic" w:eastAsia="Times New Roman" w:hAnsi="Century Gothic" w:cs="Times New Roman"/>
          <w:sz w:val="24"/>
          <w:szCs w:val="24"/>
        </w:rPr>
        <w:t>El televisor, el radio, el computador personal o el equipo que haga sus veces, y los elementos indispensables para la comunicación personal, los utensilios de cocina, la nevera y los demás muebles necesarios para la subsistencia del afectado y de su familia, o para el trabajo individual, salvo que se trate del cobro del crédito otorgado para la adquisición del respectivo bien. Se exceptúan los bienes suntuarios de alto valor.</w:t>
      </w:r>
    </w:p>
    <w:p w14:paraId="07DD684E"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12. </w:t>
      </w:r>
      <w:r w:rsidRPr="00AB1D26">
        <w:rPr>
          <w:rFonts w:ascii="Century Gothic" w:eastAsia="Times New Roman" w:hAnsi="Century Gothic" w:cs="Times New Roman"/>
          <w:sz w:val="24"/>
          <w:szCs w:val="24"/>
        </w:rPr>
        <w:t>El combustible y los artículos alimenticios para el sostenimiento de la persona contra quien se decretó el secuestro y de su familia durante un (1) mes, a criterio del juez.</w:t>
      </w:r>
    </w:p>
    <w:p w14:paraId="53F730FB"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13. </w:t>
      </w:r>
      <w:r w:rsidRPr="00AB1D26">
        <w:rPr>
          <w:rFonts w:ascii="Century Gothic" w:eastAsia="Times New Roman" w:hAnsi="Century Gothic" w:cs="Times New Roman"/>
          <w:sz w:val="24"/>
          <w:szCs w:val="24"/>
        </w:rPr>
        <w:t>Los derechos personalísimos e intransferibles.</w:t>
      </w:r>
    </w:p>
    <w:p w14:paraId="4D1EF34F"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14. </w:t>
      </w:r>
      <w:r w:rsidRPr="00AB1D26">
        <w:rPr>
          <w:rFonts w:ascii="Century Gothic" w:eastAsia="Times New Roman" w:hAnsi="Century Gothic" w:cs="Times New Roman"/>
          <w:sz w:val="24"/>
          <w:szCs w:val="24"/>
        </w:rPr>
        <w:t>Los derechos de uso y habitación.</w:t>
      </w:r>
    </w:p>
    <w:p w14:paraId="37690DA5"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15. </w:t>
      </w:r>
      <w:r w:rsidRPr="00AB1D26">
        <w:rPr>
          <w:rFonts w:ascii="Century Gothic" w:eastAsia="Times New Roman" w:hAnsi="Century Gothic" w:cs="Times New Roman"/>
          <w:sz w:val="24"/>
          <w:szCs w:val="24"/>
        </w:rPr>
        <w:t>Las mercancías incorporadas en un título-valor que las represente, a menos que la medida comprenda la aprehensión del título.</w:t>
      </w:r>
    </w:p>
    <w:p w14:paraId="543D34A7"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16. </w:t>
      </w:r>
      <w:r w:rsidRPr="00AB1D26">
        <w:rPr>
          <w:rFonts w:ascii="Century Gothic" w:eastAsia="Times New Roman" w:hAnsi="Century Gothic" w:cs="Times New Roman"/>
          <w:sz w:val="24"/>
          <w:szCs w:val="24"/>
        </w:rPr>
        <w:t>Las dos terceras partes de las rentas brutas de las entidades territoriales.</w:t>
      </w:r>
    </w:p>
    <w:p w14:paraId="4B19CFF8"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17. </w:t>
      </w:r>
      <w:r w:rsidRPr="00AB1D26">
        <w:rPr>
          <w:rFonts w:ascii="Century Gothic" w:eastAsia="Times New Roman" w:hAnsi="Century Gothic" w:cs="Times New Roman"/>
          <w:sz w:val="24"/>
          <w:szCs w:val="24"/>
        </w:rPr>
        <w:t>Los animales de compañía domésticos de los que trata el artículo 687 del Código Civil.</w:t>
      </w:r>
    </w:p>
    <w:p w14:paraId="384C4D1D"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PARÁGRAFO. </w:t>
      </w:r>
      <w:r w:rsidRPr="00AB1D26">
        <w:rPr>
          <w:rFonts w:ascii="Century Gothic" w:eastAsia="Times New Roman" w:hAnsi="Century Gothic" w:cs="Times New Roman"/>
          <w:sz w:val="24"/>
          <w:szCs w:val="24"/>
        </w:rPr>
        <w:t>Los funcionarios judiciales o administrativos se abstendrán de decretar órdenes de embargo sobre recursos inembargables. En el evento en que por ley fuere procedente decretar la medida no obstante su carácter de inembargable, deberán invocar en la orden de embargo el fundamento legal para su procedencia.</w:t>
      </w:r>
    </w:p>
    <w:p w14:paraId="62371A37"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sz w:val="24"/>
          <w:szCs w:val="24"/>
        </w:rPr>
        <w:t xml:space="preserve">Recibida una orden de embargo que afecte recursos de naturaleza inembargable, en la cual no se indicare el fundamento legal para la procedencia de la excepción, el destinatario de la orden de embargo, se podrá abstenerse de cumplir la orden judicial o administrativa, dada la naturaleza de inembargable de los recursos. En tal evento, la entidad destinataria de la </w:t>
      </w:r>
      <w:r w:rsidRPr="00AB1D26">
        <w:rPr>
          <w:rFonts w:ascii="Century Gothic" w:eastAsia="Times New Roman" w:hAnsi="Century Gothic" w:cs="Times New Roman"/>
          <w:sz w:val="24"/>
          <w:szCs w:val="24"/>
        </w:rPr>
        <w:lastRenderedPageBreak/>
        <w:t xml:space="preserve">medida, deberá informar al día hábil siguiente a la autoridad que decretó la medida, sobre el hecho </w:t>
      </w:r>
      <w:proofErr w:type="spellStart"/>
      <w:r w:rsidRPr="00AB1D26">
        <w:rPr>
          <w:rFonts w:ascii="Century Gothic" w:eastAsia="Times New Roman" w:hAnsi="Century Gothic" w:cs="Times New Roman"/>
          <w:sz w:val="24"/>
          <w:szCs w:val="24"/>
        </w:rPr>
        <w:t>del</w:t>
      </w:r>
      <w:proofErr w:type="spellEnd"/>
      <w:r w:rsidRPr="00AB1D26">
        <w:rPr>
          <w:rFonts w:ascii="Century Gothic" w:eastAsia="Times New Roman" w:hAnsi="Century Gothic" w:cs="Times New Roman"/>
          <w:sz w:val="24"/>
          <w:szCs w:val="24"/>
        </w:rPr>
        <w:t xml:space="preserve"> no acatamiento de la medida por cuanto dichos recursos ostentan la calidad de inembargables. La autoridad que decretó la medida deberá pronunciarse dentro de los tres (3) días hábiles siguientes a la fecha de envío de la comunicación, acerca de si procede alguna excepción legal a la regla de </w:t>
      </w:r>
      <w:proofErr w:type="spellStart"/>
      <w:r w:rsidRPr="00AB1D26">
        <w:rPr>
          <w:rFonts w:ascii="Century Gothic" w:eastAsia="Times New Roman" w:hAnsi="Century Gothic" w:cs="Times New Roman"/>
          <w:sz w:val="24"/>
          <w:szCs w:val="24"/>
        </w:rPr>
        <w:t>inembargabilidad</w:t>
      </w:r>
      <w:proofErr w:type="spellEnd"/>
      <w:r w:rsidRPr="00AB1D26">
        <w:rPr>
          <w:rFonts w:ascii="Century Gothic" w:eastAsia="Times New Roman" w:hAnsi="Century Gothic" w:cs="Times New Roman"/>
          <w:sz w:val="24"/>
          <w:szCs w:val="24"/>
        </w:rPr>
        <w:t>. Si pasados tres (3) días hábiles el destinatario no se recibe oficio alguno, se entenderá revocada la medida cautelar.</w:t>
      </w:r>
    </w:p>
    <w:p w14:paraId="76F59129" w14:textId="77777777" w:rsidR="00472E35" w:rsidRPr="00AB1D26" w:rsidRDefault="00B77B5C">
      <w:pPr>
        <w:spacing w:line="294" w:lineRule="auto"/>
        <w:jc w:val="both"/>
        <w:rPr>
          <w:rFonts w:ascii="Century Gothic" w:eastAsia="Times New Roman" w:hAnsi="Century Gothic" w:cs="Times New Roman"/>
          <w:sz w:val="24"/>
          <w:szCs w:val="24"/>
        </w:rPr>
      </w:pPr>
      <w:r w:rsidRPr="00AB1D26">
        <w:rPr>
          <w:rFonts w:ascii="Century Gothic" w:eastAsia="Times New Roman" w:hAnsi="Century Gothic" w:cs="Times New Roman"/>
          <w:sz w:val="24"/>
          <w:szCs w:val="24"/>
        </w:rPr>
        <w:t>En el evento de que la autoridad judicial o administrativa insista en la medida de embargo, la entidad destinataria cumplirá la orden, pero congelando los recursos en una cuenta especial que devengue intereses en las mismas condiciones de la cuenta o producto de la cual se produce el débito por cuenta del embargo. En todo caso, las sumas retenidas solamente se pondrán a disposición del juzgado, cuando cobre ejecutoria la sentencia o la providencia que le ponga fin al proceso que así lo ordene.</w:t>
      </w:r>
    </w:p>
    <w:p w14:paraId="45CEC249" w14:textId="77777777" w:rsidR="00472E35" w:rsidRPr="00AB1D26" w:rsidRDefault="00B77B5C">
      <w:pPr>
        <w:spacing w:after="0"/>
        <w:jc w:val="both"/>
        <w:rPr>
          <w:rFonts w:ascii="Century Gothic" w:eastAsia="Times New Roman" w:hAnsi="Century Gothic" w:cs="Times New Roman"/>
          <w:sz w:val="24"/>
          <w:szCs w:val="24"/>
        </w:rPr>
      </w:pPr>
      <w:r w:rsidRPr="00AB1D26">
        <w:rPr>
          <w:rFonts w:ascii="Century Gothic" w:eastAsia="Times New Roman" w:hAnsi="Century Gothic" w:cs="Times New Roman"/>
          <w:b/>
          <w:sz w:val="24"/>
          <w:szCs w:val="24"/>
        </w:rPr>
        <w:t xml:space="preserve">Artículo 4°. </w:t>
      </w:r>
      <w:r w:rsidRPr="00AB1D26">
        <w:rPr>
          <w:rFonts w:ascii="Century Gothic" w:eastAsia="Times New Roman" w:hAnsi="Century Gothic" w:cs="Times New Roman"/>
          <w:sz w:val="24"/>
          <w:szCs w:val="24"/>
        </w:rPr>
        <w:t>La presente ley rige a partir de la fecha de su promulgación y deroga todas las disposiciones que le sean contrarias.</w:t>
      </w:r>
    </w:p>
    <w:p w14:paraId="2800560B" w14:textId="77777777" w:rsidR="005F700F" w:rsidRPr="00AB1D26" w:rsidRDefault="005F700F">
      <w:pPr>
        <w:spacing w:after="0"/>
        <w:jc w:val="both"/>
        <w:rPr>
          <w:rFonts w:ascii="Century Gothic" w:eastAsia="Times New Roman" w:hAnsi="Century Gothic" w:cs="Times New Roman"/>
          <w:sz w:val="24"/>
          <w:szCs w:val="24"/>
        </w:rPr>
      </w:pPr>
    </w:p>
    <w:p w14:paraId="732CF034" w14:textId="70144C98" w:rsidR="00AB1D26" w:rsidRPr="00AB1D26" w:rsidRDefault="009776E8" w:rsidP="00AB1D26">
      <w:pPr>
        <w:jc w:val="both"/>
        <w:rPr>
          <w:rFonts w:ascii="Century Gothic" w:eastAsia="Century Gothic" w:hAnsi="Century Gothic" w:cs="Century Gothic"/>
          <w:highlight w:val="white"/>
          <w:lang w:eastAsia="es-MX"/>
        </w:rPr>
      </w:pPr>
      <w:r w:rsidRPr="009776E8">
        <w:rPr>
          <w:rFonts w:ascii="Century Gothic" w:eastAsia="Century Gothic" w:hAnsi="Century Gothic" w:cs="Century Gothic"/>
          <w:lang w:eastAsia="es-MX"/>
        </w:rPr>
        <w:t>En los anteriores términos fue aprobado con modificaciones el presente proyecto de Ley según consta en el acta 52 de sesión mixta del 09 de junio de 2021; así mismo fue anunciado entre otras fechas el día 08 de junio de 2021, según consta en el acta 51 de sesión mixta de esa misma fecha.</w:t>
      </w:r>
      <w:bookmarkStart w:id="0" w:name="_GoBack"/>
      <w:bookmarkEnd w:id="0"/>
    </w:p>
    <w:p w14:paraId="08787DE4" w14:textId="77777777" w:rsidR="00AB1D26" w:rsidRDefault="00AB1D26" w:rsidP="00AB1D26">
      <w:pPr>
        <w:jc w:val="both"/>
        <w:rPr>
          <w:rFonts w:ascii="Century Gothic" w:eastAsia="Century Gothic" w:hAnsi="Century Gothic" w:cs="Century Gothic"/>
          <w:highlight w:val="white"/>
          <w:lang w:eastAsia="es-MX"/>
        </w:rPr>
      </w:pPr>
    </w:p>
    <w:p w14:paraId="2BF4AE39" w14:textId="77777777" w:rsidR="00AB1D26" w:rsidRPr="00AB1D26" w:rsidRDefault="00AB1D26" w:rsidP="00AB1D26">
      <w:pPr>
        <w:jc w:val="both"/>
        <w:rPr>
          <w:rFonts w:ascii="Century Gothic" w:eastAsia="Century Gothic" w:hAnsi="Century Gothic" w:cs="Century Gothic"/>
          <w:highlight w:val="white"/>
          <w:lang w:eastAsia="es-MX"/>
        </w:rPr>
      </w:pPr>
    </w:p>
    <w:p w14:paraId="297EC8EE" w14:textId="053A7E58" w:rsidR="00AB1D26" w:rsidRPr="00AB1D26" w:rsidRDefault="00AB1D26" w:rsidP="00AB1D26">
      <w:pPr>
        <w:tabs>
          <w:tab w:val="left" w:pos="4820"/>
        </w:tabs>
        <w:jc w:val="both"/>
        <w:rPr>
          <w:rFonts w:ascii="Century Gothic" w:eastAsia="Century Gothic" w:hAnsi="Century Gothic" w:cs="Century Gothic"/>
          <w:highlight w:val="white"/>
          <w:lang w:eastAsia="es-MX"/>
        </w:rPr>
      </w:pPr>
      <w:r w:rsidRPr="00AB1D26">
        <w:rPr>
          <w:rFonts w:ascii="Century Gothic" w:eastAsia="Century Gothic" w:hAnsi="Century Gothic" w:cs="Century Gothic"/>
          <w:b/>
          <w:lang w:val="es-ES_tradnl" w:eastAsia="es-MX"/>
        </w:rPr>
        <w:t>ANDRÉS DAVID CALLE AGUAS</w:t>
      </w:r>
      <w:r w:rsidRPr="00AB1D26">
        <w:rPr>
          <w:rFonts w:ascii="Century Gothic" w:eastAsia="Century Gothic" w:hAnsi="Century Gothic" w:cs="Century Gothic"/>
          <w:highlight w:val="white"/>
          <w:lang w:eastAsia="es-MX"/>
        </w:rPr>
        <w:tab/>
      </w:r>
      <w:r w:rsidRPr="00AB1D26">
        <w:rPr>
          <w:rFonts w:ascii="Century Gothic" w:eastAsia="Century Gothic" w:hAnsi="Century Gothic" w:cs="Century Gothic"/>
          <w:b/>
          <w:highlight w:val="white"/>
          <w:lang w:eastAsia="es-MX"/>
        </w:rPr>
        <w:t>ALFREDO RAFAEL DELUQUE ZULETA</w:t>
      </w:r>
    </w:p>
    <w:p w14:paraId="7FEF2DB8" w14:textId="2FA0193B" w:rsidR="00AB1D26" w:rsidRPr="00AB1D26" w:rsidRDefault="00AB1D26" w:rsidP="00AB1D26">
      <w:pPr>
        <w:tabs>
          <w:tab w:val="left" w:pos="4820"/>
        </w:tabs>
        <w:jc w:val="both"/>
        <w:rPr>
          <w:rFonts w:ascii="Century Gothic" w:eastAsia="Century Gothic" w:hAnsi="Century Gothic" w:cs="Century Gothic"/>
          <w:highlight w:val="white"/>
          <w:lang w:eastAsia="es-MX"/>
        </w:rPr>
      </w:pPr>
      <w:r>
        <w:rPr>
          <w:rFonts w:ascii="Century Gothic" w:eastAsia="Century Gothic" w:hAnsi="Century Gothic" w:cs="Century Gothic"/>
          <w:highlight w:val="white"/>
          <w:lang w:eastAsia="es-MX"/>
        </w:rPr>
        <w:t>Único Ponente</w:t>
      </w:r>
      <w:r w:rsidRPr="00AB1D26">
        <w:rPr>
          <w:rFonts w:ascii="Century Gothic" w:eastAsia="Century Gothic" w:hAnsi="Century Gothic" w:cs="Century Gothic"/>
          <w:highlight w:val="white"/>
          <w:lang w:eastAsia="es-MX"/>
        </w:rPr>
        <w:tab/>
        <w:t>Presidente</w:t>
      </w:r>
    </w:p>
    <w:p w14:paraId="15B9F531" w14:textId="77777777" w:rsidR="00AB1D26" w:rsidRPr="00AB1D26" w:rsidRDefault="00AB1D26" w:rsidP="00AB1D26">
      <w:pPr>
        <w:jc w:val="center"/>
        <w:rPr>
          <w:rFonts w:ascii="Century Gothic" w:eastAsia="Century Gothic" w:hAnsi="Century Gothic" w:cs="Century Gothic"/>
          <w:highlight w:val="white"/>
          <w:lang w:eastAsia="es-MX"/>
        </w:rPr>
      </w:pPr>
    </w:p>
    <w:p w14:paraId="1A000A55" w14:textId="77777777" w:rsidR="00AB1D26" w:rsidRPr="00AB1D26" w:rsidRDefault="00AB1D26" w:rsidP="00AB1D26">
      <w:pPr>
        <w:jc w:val="center"/>
        <w:rPr>
          <w:rFonts w:ascii="Century Gothic" w:eastAsia="Century Gothic" w:hAnsi="Century Gothic" w:cs="Century Gothic"/>
          <w:highlight w:val="white"/>
          <w:lang w:eastAsia="es-MX"/>
        </w:rPr>
      </w:pPr>
    </w:p>
    <w:p w14:paraId="21C0DA77" w14:textId="77777777" w:rsidR="00AB1D26" w:rsidRPr="00AB1D26" w:rsidRDefault="00AB1D26" w:rsidP="00AB1D26">
      <w:pPr>
        <w:jc w:val="center"/>
        <w:rPr>
          <w:rFonts w:ascii="Century Gothic" w:eastAsia="Century Gothic" w:hAnsi="Century Gothic" w:cs="Century Gothic"/>
          <w:highlight w:val="white"/>
          <w:lang w:eastAsia="es-MX"/>
        </w:rPr>
      </w:pPr>
    </w:p>
    <w:p w14:paraId="7E89CBB6" w14:textId="77777777" w:rsidR="00AB1D26" w:rsidRPr="00AB1D26" w:rsidRDefault="00AB1D26" w:rsidP="00AB1D26">
      <w:pPr>
        <w:jc w:val="center"/>
        <w:rPr>
          <w:rFonts w:ascii="Century Gothic" w:eastAsia="Century Gothic" w:hAnsi="Century Gothic" w:cs="Century Gothic"/>
          <w:b/>
          <w:highlight w:val="white"/>
          <w:lang w:eastAsia="es-MX"/>
        </w:rPr>
      </w:pPr>
      <w:r w:rsidRPr="00AB1D26">
        <w:rPr>
          <w:rFonts w:ascii="Century Gothic" w:eastAsia="Century Gothic" w:hAnsi="Century Gothic" w:cs="Century Gothic"/>
          <w:b/>
          <w:highlight w:val="white"/>
          <w:lang w:eastAsia="es-MX"/>
        </w:rPr>
        <w:t>AMPARO YANETH CALDERON PERDOMO</w:t>
      </w:r>
    </w:p>
    <w:p w14:paraId="2D833A93" w14:textId="64CC869D" w:rsidR="005F700F" w:rsidRPr="00AB1D26" w:rsidRDefault="00AB1D26" w:rsidP="00AB1D26">
      <w:pPr>
        <w:jc w:val="center"/>
        <w:rPr>
          <w:rFonts w:ascii="Century Gothic" w:eastAsia="Times New Roman" w:hAnsi="Century Gothic" w:cs="Times New Roman"/>
          <w:sz w:val="24"/>
          <w:szCs w:val="24"/>
        </w:rPr>
      </w:pPr>
      <w:r w:rsidRPr="00AB1D26">
        <w:rPr>
          <w:rFonts w:ascii="Century Gothic" w:eastAsia="Century Gothic" w:hAnsi="Century Gothic" w:cs="Century Gothic"/>
          <w:highlight w:val="white"/>
          <w:lang w:eastAsia="es-MX"/>
        </w:rPr>
        <w:t>Secretaria</w:t>
      </w:r>
    </w:p>
    <w:sectPr w:rsidR="005F700F" w:rsidRPr="00AB1D26" w:rsidSect="00900DB8">
      <w:headerReference w:type="default" r:id="rId7"/>
      <w:footerReference w:type="even" r:id="rId8"/>
      <w:footerReference w:type="default" r:id="rId9"/>
      <w:pgSz w:w="12240" w:h="15840"/>
      <w:pgMar w:top="1908" w:right="1440" w:bottom="1418" w:left="1440" w:header="708" w:footer="3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39E40" w14:textId="77777777" w:rsidR="00F95BD2" w:rsidRDefault="00F95BD2">
      <w:pPr>
        <w:spacing w:after="0" w:line="240" w:lineRule="auto"/>
      </w:pPr>
      <w:r>
        <w:separator/>
      </w:r>
    </w:p>
  </w:endnote>
  <w:endnote w:type="continuationSeparator" w:id="0">
    <w:p w14:paraId="22A09F67" w14:textId="77777777" w:rsidR="00F95BD2" w:rsidRDefault="00F9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altName w:val="﷽﷽﷽﷽﷽﷽﷽﷽ɷ怀"/>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C471" w14:textId="77777777" w:rsidR="005F700F" w:rsidRDefault="005F700F" w:rsidP="00E2327A">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151B2A" w14:textId="77777777" w:rsidR="005F700F" w:rsidRDefault="005F700F" w:rsidP="005F700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_tradnl" w:eastAsia="es-MX"/>
      </w:rPr>
      <w:id w:val="-530418279"/>
      <w:docPartObj>
        <w:docPartGallery w:val="Page Numbers (Bottom of Page)"/>
        <w:docPartUnique/>
      </w:docPartObj>
    </w:sdtPr>
    <w:sdtEndPr/>
    <w:sdtContent>
      <w:p w14:paraId="7CA4B1D9" w14:textId="77777777" w:rsidR="00900DB8" w:rsidRPr="00900DB8" w:rsidRDefault="00900DB8" w:rsidP="00900DB8">
        <w:pPr>
          <w:tabs>
            <w:tab w:val="center" w:pos="4419"/>
            <w:tab w:val="right" w:pos="8838"/>
          </w:tabs>
          <w:spacing w:after="0" w:line="240" w:lineRule="auto"/>
          <w:jc w:val="right"/>
          <w:rPr>
            <w:lang w:val="es-ES_tradnl" w:eastAsia="es-MX"/>
          </w:rPr>
        </w:pPr>
      </w:p>
      <w:p w14:paraId="5547DFE5" w14:textId="77777777" w:rsidR="00900DB8" w:rsidRPr="00900DB8" w:rsidRDefault="00900DB8" w:rsidP="00900DB8">
        <w:pPr>
          <w:tabs>
            <w:tab w:val="center" w:pos="4252"/>
            <w:tab w:val="right" w:pos="8504"/>
          </w:tabs>
          <w:spacing w:after="0" w:line="240" w:lineRule="auto"/>
          <w:jc w:val="center"/>
          <w:rPr>
            <w:rFonts w:ascii="Aparajita" w:eastAsia="Times New Roman" w:hAnsi="Aparajita" w:cs="Aparajita"/>
            <w:color w:val="000000"/>
            <w:szCs w:val="24"/>
            <w:lang w:val="es-ES" w:eastAsia="es-ES"/>
            <w14:textFill>
              <w14:solidFill>
                <w14:srgbClr w14:val="000000">
                  <w14:lumMod w14:val="65000"/>
                  <w14:lumOff w14:val="35000"/>
                </w14:srgbClr>
              </w14:solidFill>
            </w14:textFill>
          </w:rPr>
        </w:pPr>
        <w:r w:rsidRPr="00900DB8">
          <w:rPr>
            <w:rFonts w:ascii="Aparajita" w:eastAsia="Times New Roman" w:hAnsi="Aparajita" w:cs="Aparajita"/>
            <w:color w:val="000000"/>
            <w:szCs w:val="24"/>
            <w:lang w:val="es-ES" w:eastAsia="es-ES"/>
            <w14:textFill>
              <w14:solidFill>
                <w14:srgbClr w14:val="000000">
                  <w14:lumMod w14:val="65000"/>
                  <w14:lumOff w14:val="35000"/>
                </w14:srgbClr>
              </w14:solidFill>
            </w14:textFill>
          </w:rPr>
          <w:t>Comisión Primera de la H. Cámara de Representantes</w:t>
        </w:r>
      </w:p>
      <w:p w14:paraId="41653D04" w14:textId="77777777" w:rsidR="00900DB8" w:rsidRPr="00900DB8" w:rsidRDefault="00900DB8" w:rsidP="00900DB8">
        <w:pPr>
          <w:tabs>
            <w:tab w:val="center" w:pos="4252"/>
            <w:tab w:val="right" w:pos="8504"/>
          </w:tabs>
          <w:spacing w:after="0" w:line="240" w:lineRule="auto"/>
          <w:jc w:val="center"/>
          <w:rPr>
            <w:rFonts w:ascii="Aparajita" w:eastAsia="Times New Roman" w:hAnsi="Aparajita" w:cs="Aparajita"/>
            <w:color w:val="808080"/>
            <w:szCs w:val="24"/>
            <w:u w:val="single"/>
            <w:lang w:val="es-ES" w:eastAsia="es-ES"/>
          </w:rPr>
        </w:pPr>
        <w:r w:rsidRPr="00900DB8">
          <w:rPr>
            <w:rFonts w:ascii="Aparajita" w:eastAsia="Times New Roman" w:hAnsi="Aparajita" w:cs="Aparajita"/>
            <w:color w:val="000000"/>
            <w:szCs w:val="24"/>
            <w:lang w:val="es-ES" w:eastAsia="es-ES"/>
            <w14:textFill>
              <w14:solidFill>
                <w14:srgbClr w14:val="000000">
                  <w14:lumMod w14:val="65000"/>
                  <w14:lumOff w14:val="35000"/>
                </w14:srgbClr>
              </w14:solidFill>
            </w14:textFill>
          </w:rPr>
          <w:t>Carrera 7 N° 8 – 68, oficina 238 B</w:t>
        </w:r>
        <w:r w:rsidRPr="00900DB8">
          <w:rPr>
            <w:rFonts w:ascii="Aparajita" w:eastAsia="Times New Roman" w:hAnsi="Aparajita" w:cs="Aparajita"/>
            <w:color w:val="808080"/>
            <w:szCs w:val="24"/>
            <w:lang w:val="es-ES" w:eastAsia="es-ES"/>
          </w:rPr>
          <w:t xml:space="preserve">  </w:t>
        </w:r>
        <w:hyperlink r:id="rId1" w:history="1">
          <w:r w:rsidRPr="00900DB8">
            <w:rPr>
              <w:rFonts w:ascii="Aparajita" w:eastAsia="Times New Roman" w:hAnsi="Aparajita" w:cs="Aparajita"/>
              <w:color w:val="023160"/>
              <w:szCs w:val="24"/>
              <w:u w:val="single"/>
              <w:lang w:val="es-ES" w:eastAsia="es-ES"/>
            </w:rPr>
            <w:t>www.camara.gov.co</w:t>
          </w:r>
        </w:hyperlink>
      </w:p>
      <w:p w14:paraId="63E2A0B6" w14:textId="721A9FC6" w:rsidR="00900DB8" w:rsidRPr="00900DB8" w:rsidRDefault="00900DB8" w:rsidP="00900DB8">
        <w:pPr>
          <w:tabs>
            <w:tab w:val="center" w:pos="4419"/>
            <w:tab w:val="right" w:pos="8838"/>
          </w:tabs>
          <w:spacing w:after="0" w:line="240" w:lineRule="auto"/>
          <w:jc w:val="center"/>
          <w:rPr>
            <w:lang w:val="es-ES_tradnl" w:eastAsia="es-MX"/>
          </w:rPr>
        </w:pPr>
        <w:r w:rsidRPr="00900DB8">
          <w:rPr>
            <w:rFonts w:ascii="Aparajita" w:eastAsia="Times New Roman" w:hAnsi="Aparajita" w:cs="Aparajita"/>
            <w:color w:val="000000"/>
            <w:szCs w:val="24"/>
            <w:lang w:val="es-ES" w:eastAsia="es-ES"/>
            <w14:textFill>
              <w14:solidFill>
                <w14:srgbClr w14:val="000000">
                  <w14:lumMod w14:val="65000"/>
                  <w14:lumOff w14:val="35000"/>
                </w14:srgbClr>
              </w14:solidFill>
            </w14:textFill>
          </w:rPr>
          <w:t>PBX: 3904050 – Ext. 4289 - 4288  Email:</w:t>
        </w:r>
        <w:r w:rsidRPr="00900DB8">
          <w:rPr>
            <w:rFonts w:ascii="Aparajita" w:eastAsia="Times New Roman" w:hAnsi="Aparajita" w:cs="Aparajita"/>
            <w:color w:val="808080"/>
            <w:szCs w:val="24"/>
            <w:lang w:val="en-US" w:eastAsia="es-ES"/>
          </w:rPr>
          <w:t xml:space="preserve"> </w:t>
        </w:r>
        <w:hyperlink r:id="rId2" w:history="1">
          <w:r w:rsidRPr="00900DB8">
            <w:rPr>
              <w:rFonts w:ascii="Aparajita" w:hAnsi="Aparajita" w:cs="Aparajita"/>
              <w:color w:val="023160"/>
              <w:szCs w:val="24"/>
              <w:u w:val="single"/>
              <w:lang w:val="en-US" w:eastAsia="en-US"/>
            </w:rPr>
            <w:t>comision.primera@camara.gov.co</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7B9D8" w14:textId="77777777" w:rsidR="00F95BD2" w:rsidRDefault="00F95BD2">
      <w:pPr>
        <w:spacing w:after="0" w:line="240" w:lineRule="auto"/>
      </w:pPr>
      <w:r>
        <w:separator/>
      </w:r>
    </w:p>
  </w:footnote>
  <w:footnote w:type="continuationSeparator" w:id="0">
    <w:p w14:paraId="4F3E3C33" w14:textId="77777777" w:rsidR="00F95BD2" w:rsidRDefault="00F95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D4B7" w14:textId="1FD5987C" w:rsidR="005F700F" w:rsidRPr="005F700F" w:rsidRDefault="00F95BD2" w:rsidP="00900DB8">
    <w:pPr>
      <w:pBdr>
        <w:top w:val="nil"/>
        <w:left w:val="nil"/>
        <w:bottom w:val="nil"/>
        <w:right w:val="nil"/>
        <w:between w:val="nil"/>
      </w:pBdr>
      <w:tabs>
        <w:tab w:val="center" w:pos="4419"/>
        <w:tab w:val="right" w:pos="8838"/>
      </w:tabs>
      <w:spacing w:after="0" w:line="240" w:lineRule="auto"/>
      <w:rPr>
        <w:b/>
        <w:color w:val="7A501B"/>
      </w:rPr>
    </w:pPr>
    <w:sdt>
      <w:sdtPr>
        <w:rPr>
          <w:color w:val="000000"/>
        </w:rPr>
        <w:id w:val="-1064408456"/>
        <w:docPartObj>
          <w:docPartGallery w:val="Page Numbers (Margins)"/>
          <w:docPartUnique/>
        </w:docPartObj>
      </w:sdtPr>
      <w:sdtEndPr/>
      <w:sdtContent>
        <w:r w:rsidR="00900DB8" w:rsidRPr="00900DB8">
          <w:rPr>
            <w:noProof/>
            <w:color w:val="000000"/>
            <w:lang w:eastAsia="es-CO"/>
          </w:rPr>
          <mc:AlternateContent>
            <mc:Choice Requires="wps">
              <w:drawing>
                <wp:anchor distT="0" distB="0" distL="114300" distR="114300" simplePos="0" relativeHeight="251659264" behindDoc="0" locked="0" layoutInCell="0" allowOverlap="1" wp14:anchorId="171788F5" wp14:editId="0D75A12F">
                  <wp:simplePos x="0" y="0"/>
                  <wp:positionH relativeFrom="rightMargin">
                    <wp:align>right</wp:align>
                  </wp:positionH>
                  <mc:AlternateContent>
                    <mc:Choice Requires="wp14">
                      <wp:positionV relativeFrom="margin">
                        <wp14:pctPosVOffset>10000</wp14:pctPosVOffset>
                      </wp:positionV>
                    </mc:Choice>
                    <mc:Fallback>
                      <wp:positionV relativeFrom="page">
                        <wp:posOffset>2005965</wp:posOffset>
                      </wp:positionV>
                    </mc:Fallback>
                  </mc:AlternateContent>
                  <wp:extent cx="819150" cy="433705"/>
                  <wp:effectExtent l="0" t="0" r="1905" b="444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DD433" w14:textId="77777777" w:rsidR="00900DB8" w:rsidRDefault="00900DB8">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9776E8" w:rsidRPr="009776E8">
                                <w:rPr>
                                  <w:noProof/>
                                  <w:lang w:val="es-ES"/>
                                </w:rPr>
                                <w:t>4</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71788F5" id="Rectángulo 14"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" o:allowincell="f" stroked="f">
                  <v:textbox style="mso-fit-shape-to-text:t" inset="0,,0">
                    <w:txbxContent>
                      <w:p w14:paraId="7CEDD433" w14:textId="77777777" w:rsidR="00900DB8" w:rsidRDefault="00900DB8">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9776E8" w:rsidRPr="009776E8">
                          <w:rPr>
                            <w:noProof/>
                            <w:lang w:val="es-ES"/>
                          </w:rPr>
                          <w:t>4</w:t>
                        </w:r>
                        <w:r>
                          <w:fldChar w:fldCharType="end"/>
                        </w:r>
                      </w:p>
                    </w:txbxContent>
                  </v:textbox>
                  <w10:wrap anchorx="margin" anchory="margin"/>
                </v:rect>
              </w:pict>
            </mc:Fallback>
          </mc:AlternateContent>
        </w:r>
      </w:sdtContent>
    </w:sdt>
    <w:r w:rsidR="00B77B5C">
      <w:rPr>
        <w:color w:val="000000"/>
      </w:rPr>
      <w:tab/>
    </w:r>
    <w:r w:rsidR="00900DB8" w:rsidRPr="00165143">
      <w:rPr>
        <w:noProof/>
        <w:lang w:eastAsia="es-CO"/>
      </w:rPr>
      <w:drawing>
        <wp:inline distT="0" distB="0" distL="0" distR="0" wp14:anchorId="294A24A5" wp14:editId="1C6CA0E4">
          <wp:extent cx="1981200" cy="584200"/>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149" t="51920" r="47472" b="33134"/>
                  <a:stretch>
                    <a:fillRect/>
                  </a:stretch>
                </pic:blipFill>
                <pic:spPr bwMode="auto">
                  <a:xfrm>
                    <a:off x="0" y="0"/>
                    <a:ext cx="1981200" cy="584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35"/>
    <w:rsid w:val="00160C80"/>
    <w:rsid w:val="001E2947"/>
    <w:rsid w:val="00472E35"/>
    <w:rsid w:val="00475080"/>
    <w:rsid w:val="005F700F"/>
    <w:rsid w:val="007B0731"/>
    <w:rsid w:val="00900DB8"/>
    <w:rsid w:val="009776E8"/>
    <w:rsid w:val="009E4EAB"/>
    <w:rsid w:val="00A14D9B"/>
    <w:rsid w:val="00AB1D26"/>
    <w:rsid w:val="00B77B5C"/>
    <w:rsid w:val="00E261CC"/>
    <w:rsid w:val="00E3144F"/>
    <w:rsid w:val="00F95BD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D7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A6D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D7E"/>
  </w:style>
  <w:style w:type="paragraph" w:styleId="Piedepgina">
    <w:name w:val="footer"/>
    <w:basedOn w:val="Normal"/>
    <w:link w:val="PiedepginaCar"/>
    <w:uiPriority w:val="99"/>
    <w:unhideWhenUsed/>
    <w:rsid w:val="00DA6D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D7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dxa"/>
      <w:tblCellMar>
        <w:top w:w="100" w:type="dxa"/>
        <w:left w:w="100" w:type="dxa"/>
        <w:bottom w:w="100" w:type="dxa"/>
        <w:right w:w="100" w:type="dxa"/>
      </w:tblCellMar>
    </w:tblPr>
  </w:style>
  <w:style w:type="character" w:styleId="Nmerodepgina">
    <w:name w:val="page number"/>
    <w:basedOn w:val="Fuentedeprrafopredeter"/>
    <w:uiPriority w:val="99"/>
    <w:semiHidden/>
    <w:unhideWhenUsed/>
    <w:rsid w:val="005F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pZnl+ELWwwXBSmokfaEw/lpEiQ==">AMUW2mXW87TQb50ppO03cXvLDzvZZlRG8x0fHrssELQEvyXKtEQtlcbRQspD8LqUyPy27MHM9YKM8MYGlF6Irvrqwfi0iirMHFouRdZX6L1/qLqIIDZ/a2s=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Quintero</dc:creator>
  <cp:lastModifiedBy>Javier Eduardo Figueroa Pulido</cp:lastModifiedBy>
  <cp:revision>8</cp:revision>
  <cp:lastPrinted>2021-05-26T15:30:00Z</cp:lastPrinted>
  <dcterms:created xsi:type="dcterms:W3CDTF">2021-06-11T16:06:00Z</dcterms:created>
  <dcterms:modified xsi:type="dcterms:W3CDTF">2021-06-11T16:19:00Z</dcterms:modified>
</cp:coreProperties>
</file>